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3570" w14:textId="77777777" w:rsidR="009C4C54" w:rsidRDefault="00A11EB3">
      <w:pPr>
        <w:pStyle w:val="BodyText"/>
        <w:ind w:left="114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B13583" wp14:editId="20B13584">
                <wp:extent cx="6028690" cy="699770"/>
                <wp:effectExtent l="0" t="0" r="0" b="507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8690" cy="699770"/>
                          <a:chOff x="0" y="0"/>
                          <a:chExt cx="6028690" cy="6997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2869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690" h="699770">
                                <a:moveTo>
                                  <a:pt x="65519" y="681482"/>
                                </a:moveTo>
                                <a:lnTo>
                                  <a:pt x="18275" y="681482"/>
                                </a:lnTo>
                                <a:lnTo>
                                  <a:pt x="18275" y="633984"/>
                                </a:lnTo>
                                <a:lnTo>
                                  <a:pt x="18275" y="423672"/>
                                </a:lnTo>
                                <a:lnTo>
                                  <a:pt x="18275" y="321576"/>
                                </a:lnTo>
                                <a:lnTo>
                                  <a:pt x="0" y="321576"/>
                                </a:lnTo>
                                <a:lnTo>
                                  <a:pt x="0" y="699770"/>
                                </a:lnTo>
                                <a:lnTo>
                                  <a:pt x="18275" y="699770"/>
                                </a:lnTo>
                                <a:lnTo>
                                  <a:pt x="65519" y="699770"/>
                                </a:lnTo>
                                <a:lnTo>
                                  <a:pt x="65519" y="681482"/>
                                </a:lnTo>
                                <a:close/>
                              </a:path>
                              <a:path w="6028690" h="699770">
                                <a:moveTo>
                                  <a:pt x="65519" y="0"/>
                                </a:move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65532"/>
                                </a:lnTo>
                                <a:lnTo>
                                  <a:pt x="0" y="321564"/>
                                </a:lnTo>
                                <a:lnTo>
                                  <a:pt x="18275" y="321564"/>
                                </a:lnTo>
                                <a:lnTo>
                                  <a:pt x="18275" y="65532"/>
                                </a:lnTo>
                                <a:lnTo>
                                  <a:pt x="18275" y="18288"/>
                                </a:lnTo>
                                <a:lnTo>
                                  <a:pt x="65519" y="18288"/>
                                </a:lnTo>
                                <a:lnTo>
                                  <a:pt x="65519" y="0"/>
                                </a:lnTo>
                                <a:close/>
                              </a:path>
                              <a:path w="6028690" h="699770">
                                <a:moveTo>
                                  <a:pt x="5962777" y="681482"/>
                                </a:moveTo>
                                <a:lnTo>
                                  <a:pt x="65532" y="681482"/>
                                </a:lnTo>
                                <a:lnTo>
                                  <a:pt x="65532" y="699770"/>
                                </a:lnTo>
                                <a:lnTo>
                                  <a:pt x="5962777" y="699770"/>
                                </a:lnTo>
                                <a:lnTo>
                                  <a:pt x="5962777" y="681482"/>
                                </a:lnTo>
                                <a:close/>
                              </a:path>
                              <a:path w="6028690" h="699770">
                                <a:moveTo>
                                  <a:pt x="5962777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5962777" y="18288"/>
                                </a:lnTo>
                                <a:lnTo>
                                  <a:pt x="5962777" y="0"/>
                                </a:lnTo>
                                <a:close/>
                              </a:path>
                              <a:path w="6028690" h="699770">
                                <a:moveTo>
                                  <a:pt x="6028385" y="681482"/>
                                </a:moveTo>
                                <a:lnTo>
                                  <a:pt x="6028372" y="633984"/>
                                </a:lnTo>
                                <a:lnTo>
                                  <a:pt x="6028372" y="423672"/>
                                </a:lnTo>
                                <a:lnTo>
                                  <a:pt x="6028372" y="321576"/>
                                </a:lnTo>
                                <a:lnTo>
                                  <a:pt x="6010097" y="321576"/>
                                </a:lnTo>
                                <a:lnTo>
                                  <a:pt x="6010097" y="423672"/>
                                </a:lnTo>
                                <a:lnTo>
                                  <a:pt x="6010097" y="633945"/>
                                </a:lnTo>
                                <a:lnTo>
                                  <a:pt x="6010097" y="681482"/>
                                </a:lnTo>
                                <a:lnTo>
                                  <a:pt x="5962853" y="681482"/>
                                </a:lnTo>
                                <a:lnTo>
                                  <a:pt x="5962853" y="699770"/>
                                </a:lnTo>
                                <a:lnTo>
                                  <a:pt x="6010097" y="699770"/>
                                </a:lnTo>
                                <a:lnTo>
                                  <a:pt x="6028372" y="699770"/>
                                </a:lnTo>
                                <a:lnTo>
                                  <a:pt x="6028385" y="681482"/>
                                </a:lnTo>
                                <a:close/>
                              </a:path>
                              <a:path w="6028690" h="699770">
                                <a:moveTo>
                                  <a:pt x="6028385" y="0"/>
                                </a:moveTo>
                                <a:lnTo>
                                  <a:pt x="6010097" y="0"/>
                                </a:lnTo>
                                <a:lnTo>
                                  <a:pt x="5962853" y="0"/>
                                </a:lnTo>
                                <a:lnTo>
                                  <a:pt x="5962853" y="18288"/>
                                </a:lnTo>
                                <a:lnTo>
                                  <a:pt x="6010097" y="18288"/>
                                </a:lnTo>
                                <a:lnTo>
                                  <a:pt x="6010097" y="65532"/>
                                </a:lnTo>
                                <a:lnTo>
                                  <a:pt x="6010097" y="321564"/>
                                </a:lnTo>
                                <a:lnTo>
                                  <a:pt x="6028372" y="321564"/>
                                </a:lnTo>
                                <a:lnTo>
                                  <a:pt x="6028372" y="65532"/>
                                </a:lnTo>
                                <a:lnTo>
                                  <a:pt x="6028372" y="18288"/>
                                </a:lnTo>
                                <a:lnTo>
                                  <a:pt x="602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60" y="60960"/>
                            <a:ext cx="5906770" cy="57785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B1358D" w14:textId="77777777" w:rsidR="009C4C54" w:rsidRDefault="00A11EB3">
                              <w:pPr>
                                <w:spacing w:before="78"/>
                                <w:ind w:left="2973" w:right="297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Queensland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Government</w:t>
                              </w:r>
                            </w:p>
                            <w:p w14:paraId="20B1358E" w14:textId="77777777" w:rsidR="009C4C54" w:rsidRDefault="00A11EB3">
                              <w:pPr>
                                <w:spacing w:before="164"/>
                                <w:ind w:left="2973" w:right="297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Cabinet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September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13583" id="Group 7" o:spid="_x0000_s1026" style="width:474.7pt;height:55.1pt;mso-position-horizontal-relative:char;mso-position-vertical-relative:line" coordsize="60286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">
                <v:shape id="Graphic 8" o:spid="_x0000_s1027" style="position:absolute;width:60286;height:6997;visibility:visible;mso-wrap-style:square;v-text-anchor:top" coordsize="6028690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" path="m65519,681482r-47244,l18275,633984r,-210312l18275,321576,,321576,,699770r18275,l65519,699770r,-18288xem65519,l18275,,,,,18288,,65532,,321564r18275,l18275,65532r,-47244l65519,18288,65519,xem5962777,681482r-5897245,l65532,699770r5897245,l5962777,681482xem5962777,l65532,r,18288l5962777,18288r,-18288xem6028385,681482r-13,-47498l6028372,423672r,-102096l6010097,321576r,102096l6010097,633945r,47537l5962853,681482r,18288l6010097,699770r18275,l6028385,681482xem6028385,r-18288,l5962853,r,18288l6010097,18288r,47244l6010097,321564r18275,l6028372,65532r,-47244l60283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609;top:609;width:59068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" filled="f" strokeweight=".72pt">
                  <v:textbox inset="0,0,0,0">
                    <w:txbxContent>
                      <w:p w14:paraId="20B1358D" w14:textId="77777777" w:rsidR="009C4C54" w:rsidRDefault="00A11EB3">
                        <w:pPr>
                          <w:spacing w:before="78"/>
                          <w:ind w:left="2973" w:right="297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Queensland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Government</w:t>
                        </w:r>
                      </w:p>
                      <w:p w14:paraId="20B1358E" w14:textId="77777777" w:rsidR="009C4C54" w:rsidRDefault="00A11EB3">
                        <w:pPr>
                          <w:spacing w:before="164"/>
                          <w:ind w:left="2973" w:right="297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Cabinet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September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B13571" w14:textId="77777777" w:rsidR="009C4C54" w:rsidRDefault="00A11EB3">
      <w:pPr>
        <w:spacing w:before="86"/>
        <w:ind w:left="325"/>
        <w:rPr>
          <w:b/>
        </w:rPr>
      </w:pPr>
      <w:r>
        <w:rPr>
          <w:b/>
          <w:u w:val="single"/>
        </w:rPr>
        <w:t>Referral of an inquiry regarding the provision and regulation of supported</w:t>
      </w:r>
      <w:r>
        <w:rPr>
          <w:b/>
        </w:rPr>
        <w:t xml:space="preserve"> </w:t>
      </w:r>
      <w:r>
        <w:rPr>
          <w:b/>
          <w:u w:val="single"/>
        </w:rPr>
        <w:t>accommodation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Queensland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Community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Support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Services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Committee</w:t>
      </w:r>
    </w:p>
    <w:p w14:paraId="20B13572" w14:textId="77777777" w:rsidR="009C4C54" w:rsidRDefault="00A11EB3">
      <w:pPr>
        <w:spacing w:before="120"/>
        <w:ind w:left="325"/>
        <w:rPr>
          <w:b/>
        </w:rPr>
      </w:pPr>
      <w:r>
        <w:rPr>
          <w:b/>
          <w:u w:val="single"/>
        </w:rPr>
        <w:t>Minister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Housing</w:t>
      </w:r>
    </w:p>
    <w:p w14:paraId="20B13573" w14:textId="77777777" w:rsidR="009C4C54" w:rsidRDefault="00A11EB3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B13585" wp14:editId="20B13586">
                <wp:simplePos x="0" y="0"/>
                <wp:positionH relativeFrom="page">
                  <wp:posOffset>1242364</wp:posOffset>
                </wp:positionH>
                <wp:positionV relativeFrom="paragraph">
                  <wp:posOffset>188509</wp:posOffset>
                </wp:positionV>
                <wp:extent cx="579691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6350">
                              <a:moveTo>
                                <a:pt x="57966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6661" y="6096"/>
                              </a:lnTo>
                              <a:lnTo>
                                <a:pt x="5796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EF732" id="Graphic 10" o:spid="_x0000_s1026" style="position:absolute;margin-left:97.8pt;margin-top:14.85pt;width:456.4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" path="m5796661,l,,,6096r5796661,l57966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B13574" w14:textId="77777777" w:rsidR="009C4C54" w:rsidRDefault="009C4C54">
      <w:pPr>
        <w:pStyle w:val="BodyText"/>
        <w:spacing w:before="8"/>
        <w:rPr>
          <w:b/>
          <w:sz w:val="12"/>
        </w:rPr>
      </w:pPr>
    </w:p>
    <w:p w14:paraId="22E9FAA9" w14:textId="524EA55F" w:rsidR="009E5A59" w:rsidRDefault="009E5A59" w:rsidP="00C4709B">
      <w:pPr>
        <w:pStyle w:val="ListParagraph"/>
        <w:numPr>
          <w:ilvl w:val="0"/>
          <w:numId w:val="1"/>
        </w:numPr>
        <w:tabs>
          <w:tab w:val="left" w:pos="685"/>
        </w:tabs>
        <w:spacing w:before="240"/>
        <w:ind w:left="677" w:right="216"/>
      </w:pPr>
      <w:r w:rsidRPr="009E5A59">
        <w:t>The Public Advocate</w:t>
      </w:r>
      <w:r>
        <w:t>’s</w:t>
      </w:r>
      <w:r w:rsidRPr="009E5A59">
        <w:t xml:space="preserve"> </w:t>
      </w:r>
      <w:r>
        <w:t xml:space="preserve">role is </w:t>
      </w:r>
      <w:r w:rsidRPr="009E5A59">
        <w:t>to promote and protect the rights and interests of Queensland adults with impaired decision-making ability through systemic advocacy</w:t>
      </w:r>
      <w:r>
        <w:t>.</w:t>
      </w:r>
    </w:p>
    <w:p w14:paraId="20B13575" w14:textId="3C8C22E8" w:rsidR="009C4C54" w:rsidRDefault="00A11EB3" w:rsidP="00D753A2">
      <w:pPr>
        <w:pStyle w:val="ListParagraph"/>
        <w:numPr>
          <w:ilvl w:val="0"/>
          <w:numId w:val="1"/>
        </w:numPr>
        <w:tabs>
          <w:tab w:val="left" w:pos="685"/>
        </w:tabs>
        <w:spacing w:before="240"/>
        <w:ind w:left="680" w:right="221" w:hanging="357"/>
      </w:pPr>
      <w:r>
        <w:t xml:space="preserve">The Public Advocate’s </w:t>
      </w:r>
      <w:r w:rsidR="001847C8">
        <w:t>r</w:t>
      </w:r>
      <w:r w:rsidR="006F4B3D">
        <w:t xml:space="preserve">eport </w:t>
      </w:r>
      <w:r w:rsidR="00A9288B">
        <w:t>“</w:t>
      </w:r>
      <w:r>
        <w:rPr>
          <w:i/>
        </w:rPr>
        <w:t>‘Safe, Secure, Affordable’? The need for an inquiry into supported accommodation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Queensland</w:t>
      </w:r>
      <w:r w:rsidR="00A9288B">
        <w:rPr>
          <w:iCs/>
        </w:rPr>
        <w:t>”</w:t>
      </w:r>
      <w:r>
        <w:rPr>
          <w:i/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 w:rsidR="006F4B3D">
        <w:t xml:space="preserve">provided to </w:t>
      </w:r>
      <w:r>
        <w:t>the</w:t>
      </w:r>
      <w:r>
        <w:rPr>
          <w:spacing w:val="-3"/>
        </w:rPr>
        <w:t xml:space="preserve"> </w:t>
      </w:r>
      <w:r>
        <w:t>Attorney</w:t>
      </w:r>
      <w:r w:rsidR="001847C8">
        <w:t>-</w:t>
      </w:r>
      <w:r>
        <w:t xml:space="preserve">General and Minister for Justice and Minister for the Prevention of Domestic and Family Violence </w:t>
      </w:r>
      <w:r w:rsidR="006F4B3D">
        <w:t>on 21</w:t>
      </w:r>
      <w:r w:rsidR="001847C8">
        <w:t> </w:t>
      </w:r>
      <w:r w:rsidR="006F4B3D">
        <w:t>August 2023</w:t>
      </w:r>
      <w:r>
        <w:t>.</w:t>
      </w:r>
    </w:p>
    <w:p w14:paraId="20B13577" w14:textId="1318EF5A" w:rsidR="009C4C54" w:rsidRDefault="00A11EB3" w:rsidP="009E5A59">
      <w:pPr>
        <w:pStyle w:val="ListParagraph"/>
        <w:numPr>
          <w:ilvl w:val="0"/>
          <w:numId w:val="1"/>
        </w:numPr>
        <w:tabs>
          <w:tab w:val="left" w:pos="683"/>
          <w:tab w:val="left" w:pos="685"/>
        </w:tabs>
        <w:spacing w:before="240"/>
        <w:ind w:right="225"/>
      </w:pPr>
      <w:r>
        <w:t>The Report explores critical issues being experienced in the supported accommodation sector at both operational and systemic levels, including those that affect the human rights, wellbeing and safety of residents</w:t>
      </w:r>
      <w:r w:rsidR="00F23515">
        <w:t>,</w:t>
      </w:r>
      <w:r>
        <w:t xml:space="preserve"> and recommended that the Queensland Parliament should conduct an inquiry into the provision and regulation of supported accommodation in Queensland.</w:t>
      </w:r>
    </w:p>
    <w:p w14:paraId="5E7856CD" w14:textId="209A0B15" w:rsidR="00D753A2" w:rsidRPr="00D753A2" w:rsidRDefault="00D753A2" w:rsidP="009E5A59">
      <w:pPr>
        <w:pStyle w:val="ListParagraph"/>
        <w:numPr>
          <w:ilvl w:val="0"/>
          <w:numId w:val="1"/>
        </w:numPr>
        <w:tabs>
          <w:tab w:val="left" w:pos="683"/>
          <w:tab w:val="left" w:pos="685"/>
        </w:tabs>
        <w:spacing w:before="240"/>
        <w:ind w:right="227"/>
      </w:pPr>
      <w:r w:rsidRPr="00D753A2">
        <w:rPr>
          <w:u w:val="single"/>
        </w:rPr>
        <w:t>Cabinet noted</w:t>
      </w:r>
      <w:r>
        <w:t xml:space="preserve"> the Public Advocate’s report </w:t>
      </w:r>
      <w:r w:rsidR="00A9288B">
        <w:t>“</w:t>
      </w:r>
      <w:r>
        <w:rPr>
          <w:i/>
        </w:rPr>
        <w:t>‘Safe, Secure, Affordable’? The need for an inquiry into supported accommodation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Queensland</w:t>
      </w:r>
      <w:r w:rsidR="00A9288B">
        <w:rPr>
          <w:iCs/>
        </w:rPr>
        <w:t>”</w:t>
      </w:r>
      <w:r w:rsidR="000C0BFC">
        <w:rPr>
          <w:iCs/>
        </w:rPr>
        <w:t xml:space="preserve"> and that the report suggests the inquiry process include an independent non-government organi</w:t>
      </w:r>
      <w:r w:rsidR="001847C8" w:rsidRPr="008A391B">
        <w:rPr>
          <w:iCs/>
        </w:rPr>
        <w:t>s</w:t>
      </w:r>
      <w:r w:rsidR="000C0BFC">
        <w:rPr>
          <w:iCs/>
        </w:rPr>
        <w:t>ation to support residents to contribute their views</w:t>
      </w:r>
      <w:r>
        <w:rPr>
          <w:iCs/>
        </w:rPr>
        <w:t>.</w:t>
      </w:r>
    </w:p>
    <w:p w14:paraId="20B13579" w14:textId="62039C4A" w:rsidR="009C4C54" w:rsidRDefault="00A11EB3" w:rsidP="00D753A2">
      <w:pPr>
        <w:pStyle w:val="ListParagraph"/>
        <w:numPr>
          <w:ilvl w:val="0"/>
          <w:numId w:val="1"/>
        </w:numPr>
        <w:tabs>
          <w:tab w:val="left" w:pos="683"/>
          <w:tab w:val="left" w:pos="685"/>
        </w:tabs>
        <w:spacing w:before="240"/>
        <w:ind w:right="227"/>
      </w:pPr>
      <w:r w:rsidRPr="00D753A2">
        <w:rPr>
          <w:u w:val="single"/>
        </w:rPr>
        <w:t>Cabinet accepted</w:t>
      </w:r>
      <w:r>
        <w:t xml:space="preserve"> the Report’s recommendation </w:t>
      </w:r>
      <w:r w:rsidR="00D753A2">
        <w:t xml:space="preserve">that Parliament should conduct an inquiry into the provision and regulation of supported accommodation in Queensland </w:t>
      </w:r>
      <w:r>
        <w:t>and approved referral of the inquiry to</w:t>
      </w:r>
      <w:r w:rsidRPr="00D753A2">
        <w:rPr>
          <w:spacing w:val="40"/>
        </w:rPr>
        <w:t xml:space="preserve"> </w:t>
      </w:r>
      <w:r>
        <w:t>the Community Support and Services Committee.</w:t>
      </w:r>
    </w:p>
    <w:p w14:paraId="20B1357B" w14:textId="76F91418" w:rsidR="009C4C54" w:rsidRDefault="00A11EB3" w:rsidP="009E5A59">
      <w:pPr>
        <w:pStyle w:val="ListParagraph"/>
        <w:numPr>
          <w:ilvl w:val="0"/>
          <w:numId w:val="1"/>
        </w:numPr>
        <w:tabs>
          <w:tab w:val="left" w:pos="683"/>
        </w:tabs>
        <w:spacing w:before="360"/>
        <w:ind w:left="680" w:hanging="357"/>
        <w:rPr>
          <w:i/>
        </w:rPr>
      </w:pPr>
      <w:r>
        <w:rPr>
          <w:i/>
          <w:spacing w:val="-2"/>
          <w:u w:val="single"/>
        </w:rPr>
        <w:t>Attachments</w:t>
      </w:r>
      <w:r w:rsidR="00D753A2">
        <w:rPr>
          <w:iCs/>
          <w:spacing w:val="-2"/>
        </w:rPr>
        <w:t>:</w:t>
      </w:r>
    </w:p>
    <w:p w14:paraId="20B1357C" w14:textId="27E2F0C2" w:rsidR="009C4C54" w:rsidRDefault="00D86765" w:rsidP="009E5A59">
      <w:pPr>
        <w:pStyle w:val="ListParagraph"/>
        <w:numPr>
          <w:ilvl w:val="1"/>
          <w:numId w:val="1"/>
        </w:numPr>
        <w:tabs>
          <w:tab w:val="left" w:pos="1138"/>
        </w:tabs>
        <w:spacing w:before="120"/>
        <w:ind w:left="1134" w:hanging="454"/>
        <w:jc w:val="left"/>
      </w:pPr>
      <w:hyperlink r:id="rId7" w:history="1">
        <w:r w:rsidR="00F23515" w:rsidRPr="00192207">
          <w:rPr>
            <w:rStyle w:val="Hyperlink"/>
            <w:i/>
          </w:rPr>
          <w:t>‘</w:t>
        </w:r>
        <w:r w:rsidR="008376CD" w:rsidRPr="00192207">
          <w:rPr>
            <w:rStyle w:val="Hyperlink"/>
            <w:i/>
          </w:rPr>
          <w:t>Safe, Secure, Affordable’? The need for an inquiry into supported accommodation</w:t>
        </w:r>
        <w:r w:rsidR="008376CD" w:rsidRPr="00192207">
          <w:rPr>
            <w:rStyle w:val="Hyperlink"/>
            <w:i/>
            <w:spacing w:val="-4"/>
          </w:rPr>
          <w:t xml:space="preserve"> </w:t>
        </w:r>
        <w:r w:rsidR="008376CD" w:rsidRPr="00192207">
          <w:rPr>
            <w:rStyle w:val="Hyperlink"/>
            <w:i/>
          </w:rPr>
          <w:t>in</w:t>
        </w:r>
        <w:r w:rsidR="008376CD" w:rsidRPr="00192207">
          <w:rPr>
            <w:rStyle w:val="Hyperlink"/>
            <w:i/>
            <w:spacing w:val="-4"/>
          </w:rPr>
          <w:t xml:space="preserve"> </w:t>
        </w:r>
        <w:r w:rsidR="008376CD" w:rsidRPr="00192207">
          <w:rPr>
            <w:rStyle w:val="Hyperlink"/>
            <w:i/>
          </w:rPr>
          <w:t>Queensland</w:t>
        </w:r>
        <w:r w:rsidR="00A11EB3" w:rsidRPr="00192207">
          <w:rPr>
            <w:rStyle w:val="Hyperlink"/>
            <w:spacing w:val="-4"/>
          </w:rPr>
          <w:t>.</w:t>
        </w:r>
      </w:hyperlink>
    </w:p>
    <w:sectPr w:rsidR="009C4C54">
      <w:pgSz w:w="11910" w:h="16840"/>
      <w:pgMar w:top="700" w:right="6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74108"/>
    <w:multiLevelType w:val="hybridMultilevel"/>
    <w:tmpl w:val="FE3E1AFC"/>
    <w:lvl w:ilvl="0" w:tplc="922E6D9A">
      <w:start w:val="1"/>
      <w:numFmt w:val="decimal"/>
      <w:lvlText w:val="%1."/>
      <w:lvlJc w:val="left"/>
      <w:pPr>
        <w:ind w:left="68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4BE0426A">
      <w:numFmt w:val="bullet"/>
      <w:lvlText w:val=""/>
      <w:lvlJc w:val="left"/>
      <w:pPr>
        <w:ind w:left="1138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415AA432">
      <w:numFmt w:val="bullet"/>
      <w:lvlText w:val="•"/>
      <w:lvlJc w:val="left"/>
      <w:pPr>
        <w:ind w:left="2082" w:hanging="456"/>
      </w:pPr>
      <w:rPr>
        <w:rFonts w:hint="default"/>
        <w:lang w:val="en-US" w:eastAsia="en-US" w:bidi="ar-SA"/>
      </w:rPr>
    </w:lvl>
    <w:lvl w:ilvl="3" w:tplc="C1CC37CC">
      <w:numFmt w:val="bullet"/>
      <w:lvlText w:val="•"/>
      <w:lvlJc w:val="left"/>
      <w:pPr>
        <w:ind w:left="3025" w:hanging="456"/>
      </w:pPr>
      <w:rPr>
        <w:rFonts w:hint="default"/>
        <w:lang w:val="en-US" w:eastAsia="en-US" w:bidi="ar-SA"/>
      </w:rPr>
    </w:lvl>
    <w:lvl w:ilvl="4" w:tplc="E392EF0E">
      <w:numFmt w:val="bullet"/>
      <w:lvlText w:val="•"/>
      <w:lvlJc w:val="left"/>
      <w:pPr>
        <w:ind w:left="3968" w:hanging="456"/>
      </w:pPr>
      <w:rPr>
        <w:rFonts w:hint="default"/>
        <w:lang w:val="en-US" w:eastAsia="en-US" w:bidi="ar-SA"/>
      </w:rPr>
    </w:lvl>
    <w:lvl w:ilvl="5" w:tplc="8A86B350">
      <w:numFmt w:val="bullet"/>
      <w:lvlText w:val="•"/>
      <w:lvlJc w:val="left"/>
      <w:pPr>
        <w:ind w:left="4911" w:hanging="456"/>
      </w:pPr>
      <w:rPr>
        <w:rFonts w:hint="default"/>
        <w:lang w:val="en-US" w:eastAsia="en-US" w:bidi="ar-SA"/>
      </w:rPr>
    </w:lvl>
    <w:lvl w:ilvl="6" w:tplc="7C10E8B6">
      <w:numFmt w:val="bullet"/>
      <w:lvlText w:val="•"/>
      <w:lvlJc w:val="left"/>
      <w:pPr>
        <w:ind w:left="5854" w:hanging="456"/>
      </w:pPr>
      <w:rPr>
        <w:rFonts w:hint="default"/>
        <w:lang w:val="en-US" w:eastAsia="en-US" w:bidi="ar-SA"/>
      </w:rPr>
    </w:lvl>
    <w:lvl w:ilvl="7" w:tplc="11AE86D0">
      <w:numFmt w:val="bullet"/>
      <w:lvlText w:val="•"/>
      <w:lvlJc w:val="left"/>
      <w:pPr>
        <w:ind w:left="6797" w:hanging="456"/>
      </w:pPr>
      <w:rPr>
        <w:rFonts w:hint="default"/>
        <w:lang w:val="en-US" w:eastAsia="en-US" w:bidi="ar-SA"/>
      </w:rPr>
    </w:lvl>
    <w:lvl w:ilvl="8" w:tplc="78FE4CF2">
      <w:numFmt w:val="bullet"/>
      <w:lvlText w:val="•"/>
      <w:lvlJc w:val="left"/>
      <w:pPr>
        <w:ind w:left="7740" w:hanging="456"/>
      </w:pPr>
      <w:rPr>
        <w:rFonts w:hint="default"/>
        <w:lang w:val="en-US" w:eastAsia="en-US" w:bidi="ar-SA"/>
      </w:rPr>
    </w:lvl>
  </w:abstractNum>
  <w:num w:numId="1" w16cid:durableId="130045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54"/>
    <w:rsid w:val="000C0BFC"/>
    <w:rsid w:val="00115945"/>
    <w:rsid w:val="001847C8"/>
    <w:rsid w:val="001877C9"/>
    <w:rsid w:val="00192207"/>
    <w:rsid w:val="001F6190"/>
    <w:rsid w:val="002C31AA"/>
    <w:rsid w:val="003505AC"/>
    <w:rsid w:val="004B7B52"/>
    <w:rsid w:val="006F4B3D"/>
    <w:rsid w:val="008376CD"/>
    <w:rsid w:val="008A391B"/>
    <w:rsid w:val="009C4C54"/>
    <w:rsid w:val="009E5A59"/>
    <w:rsid w:val="00A11EB3"/>
    <w:rsid w:val="00A830A9"/>
    <w:rsid w:val="00A9288B"/>
    <w:rsid w:val="00C4709B"/>
    <w:rsid w:val="00D522C3"/>
    <w:rsid w:val="00D753A2"/>
    <w:rsid w:val="00D86765"/>
    <w:rsid w:val="00F10553"/>
    <w:rsid w:val="00F23515"/>
    <w:rsid w:val="00F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3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07"/>
      <w:ind w:left="212" w:right="108" w:hanging="3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"/>
      <w:ind w:left="6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F4B3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C0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B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BF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22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2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dpcqld.sharepoint.com/sites/DPC-CABINETSERVICES/Shared%20Documents/General/Proactive%20Release/ToBeProcessed/2023/Sep/SupportedAccomm/Attachments/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1E8FC-67C8-443D-85C4-C8819332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49AB9-C1D0-406F-BEF9-5B24ECDA6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1404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Base>https://www.cabinet.qld.gov.au/documents/2023/Sep/SupportedAccomm/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2024-02-02T00:51:00Z</cp:lastPrinted>
  <dcterms:created xsi:type="dcterms:W3CDTF">2024-02-02T02:29:00Z</dcterms:created>
  <dcterms:modified xsi:type="dcterms:W3CDTF">2024-09-26T21:51:00Z</dcterms:modified>
  <cp:category>Parliamentary_Committees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</Properties>
</file>